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7D2273">
        <w:rPr>
          <w:rFonts w:ascii="Tahoma" w:hAnsi="Tahoma" w:cs="Tahoma"/>
          <w:color w:val="00B050"/>
          <w:szCs w:val="24"/>
        </w:rPr>
        <w:t>9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553C1F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Rekonstrukce kotelny v objektech Domov Třebovice a Bronzová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</w:t>
            </w:r>
            <w:bookmarkStart w:id="1" w:name="_GoBack"/>
            <w:bookmarkEnd w:id="1"/>
            <w:r>
              <w:rPr>
                <w:rFonts w:ascii="Tahoma" w:hAnsi="Tahoma" w:cs="Tahoma"/>
                <w:sz w:val="24"/>
                <w:szCs w:val="24"/>
                <w:highlight w:val="yellow"/>
              </w:rPr>
              <w:t>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037" w:rsidRDefault="00DD7037" w:rsidP="00DA301C">
      <w:pPr>
        <w:spacing w:before="0" w:line="240" w:lineRule="auto"/>
      </w:pPr>
      <w:r>
        <w:separator/>
      </w:r>
    </w:p>
  </w:endnote>
  <w:endnote w:type="continuationSeparator" w:id="0">
    <w:p w:rsidR="00DD7037" w:rsidRDefault="00DD7037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037" w:rsidRDefault="00DD7037" w:rsidP="00DA301C">
      <w:pPr>
        <w:spacing w:before="0" w:line="240" w:lineRule="auto"/>
      </w:pPr>
      <w:r>
        <w:separator/>
      </w:r>
    </w:p>
  </w:footnote>
  <w:footnote w:type="continuationSeparator" w:id="0">
    <w:p w:rsidR="00DD7037" w:rsidRDefault="00DD7037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C1" w:rsidRDefault="00501BC1" w:rsidP="00501BC1">
    <w:pPr>
      <w:pStyle w:val="Zhlav"/>
      <w:rPr>
        <w:noProof/>
      </w:rPr>
    </w:pPr>
    <w:r>
      <w:rPr>
        <w:noProof/>
        <w:lang w:eastAsia="cs-CZ"/>
      </w:rPr>
      <w:drawing>
        <wp:inline distT="0" distB="0" distL="0" distR="0" wp14:anchorId="2C5DD1EB" wp14:editId="264AE9AF">
          <wp:extent cx="5760085" cy="553085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DA301C" w:rsidRDefault="00501BC1" w:rsidP="00553C1F">
    <w:pPr>
      <w:pStyle w:val="Zhlav"/>
      <w:jc w:val="center"/>
    </w:pPr>
    <w:r w:rsidRPr="004A5BBF">
      <w:rPr>
        <w:rFonts w:ascii="Tahoma" w:hAnsi="Tahoma" w:cs="Tahoma"/>
        <w:szCs w:val="20"/>
      </w:rPr>
      <w:t xml:space="preserve">Veřejná zakázka: </w:t>
    </w:r>
    <w:r w:rsidR="00553C1F">
      <w:rPr>
        <w:rFonts w:ascii="Tahoma" w:hAnsi="Tahoma" w:cs="Tahoma"/>
        <w:b/>
        <w:szCs w:val="20"/>
      </w:rPr>
      <w:t>„Rekonstrukce kotelny v objektech Domov Třebovice a Bronzová</w:t>
    </w:r>
    <w:r w:rsidR="00553C1F" w:rsidRPr="009A7D1F">
      <w:rPr>
        <w:rFonts w:ascii="Tahoma" w:hAnsi="Tahoma" w:cs="Tahoma"/>
        <w:b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1267E2"/>
    <w:rsid w:val="002E5D92"/>
    <w:rsid w:val="00332E61"/>
    <w:rsid w:val="003C189F"/>
    <w:rsid w:val="003E2596"/>
    <w:rsid w:val="00455CC0"/>
    <w:rsid w:val="004C0D40"/>
    <w:rsid w:val="00501BC1"/>
    <w:rsid w:val="00553C1F"/>
    <w:rsid w:val="00781AE1"/>
    <w:rsid w:val="007D2273"/>
    <w:rsid w:val="00A52C65"/>
    <w:rsid w:val="00AF43F4"/>
    <w:rsid w:val="00B0598D"/>
    <w:rsid w:val="00CC5CE5"/>
    <w:rsid w:val="00DA301C"/>
    <w:rsid w:val="00DA6753"/>
    <w:rsid w:val="00DD7037"/>
    <w:rsid w:val="00F65FD1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8CE9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13</cp:revision>
  <dcterms:created xsi:type="dcterms:W3CDTF">2023-01-27T11:36:00Z</dcterms:created>
  <dcterms:modified xsi:type="dcterms:W3CDTF">2024-08-05T11:40:00Z</dcterms:modified>
</cp:coreProperties>
</file>